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E00" w:rsidRDefault="002A7E00" w:rsidP="002A7E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7E00" w:rsidTr="00E46CC2">
        <w:tc>
          <w:tcPr>
            <w:tcW w:w="4672" w:type="dxa"/>
          </w:tcPr>
          <w:p w:rsidR="002A7E00" w:rsidRDefault="002A7E0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A7E00" w:rsidRDefault="002A7E0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A320A">
              <w:rPr>
                <w:rFonts w:ascii="Times New Roman" w:hAnsi="Times New Roman" w:cs="Times New Roman"/>
                <w:sz w:val="28"/>
                <w:szCs w:val="28"/>
              </w:rPr>
              <w:t>директора от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A320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A320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320A">
              <w:rPr>
                <w:rFonts w:ascii="Times New Roman" w:hAnsi="Times New Roman" w:cs="Times New Roman"/>
                <w:sz w:val="28"/>
                <w:szCs w:val="28"/>
              </w:rPr>
              <w:t xml:space="preserve"> г. №                 </w:t>
            </w:r>
          </w:p>
        </w:tc>
      </w:tr>
    </w:tbl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Pr="00305049" w:rsidRDefault="002A7E00" w:rsidP="002A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49">
        <w:rPr>
          <w:rFonts w:ascii="Times New Roman" w:hAnsi="Times New Roman" w:cs="Times New Roman"/>
          <w:b/>
          <w:bCs/>
          <w:sz w:val="28"/>
          <w:szCs w:val="28"/>
        </w:rPr>
        <w:t>ЦИКЛОГРАММА</w:t>
      </w:r>
    </w:p>
    <w:p w:rsidR="002A7E00" w:rsidRDefault="002A7E00" w:rsidP="002A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49">
        <w:rPr>
          <w:rFonts w:ascii="Times New Roman" w:hAnsi="Times New Roman" w:cs="Times New Roman"/>
          <w:b/>
          <w:bCs/>
          <w:sz w:val="28"/>
          <w:szCs w:val="28"/>
        </w:rPr>
        <w:t>мероприятий внутренней системы оценки качества образования в ГПОАУ ЯО Любимском аграрно-политехническом колледже</w:t>
      </w:r>
    </w:p>
    <w:p w:rsidR="002A7E00" w:rsidRPr="00305049" w:rsidRDefault="002A7E00" w:rsidP="002A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– 2025 учебный год</w:t>
      </w:r>
    </w:p>
    <w:p w:rsidR="002A7E00" w:rsidRPr="00305049" w:rsidRDefault="002A7E00" w:rsidP="002A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30B">
        <w:rPr>
          <w:rFonts w:ascii="Times New Roman" w:hAnsi="Times New Roman" w:cs="Times New Roman"/>
          <w:sz w:val="28"/>
          <w:szCs w:val="28"/>
        </w:rPr>
        <w:t xml:space="preserve">Циклограмма ВСОКО составлена с учетом задач администрирования процесса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СПО, </w:t>
      </w:r>
      <w:r w:rsidRPr="009A320A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Федеральных государственных образовательных стандартов основного общего образования (в части реализации основной образовательной программы основного общего образования в 9 классе (для обучающихся закончивших 8 классов общеобразовательной школы и продолживших обучение по программе ООО в 9 классе в колледже).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30B">
        <w:rPr>
          <w:rFonts w:ascii="Times New Roman" w:hAnsi="Times New Roman" w:cs="Times New Roman"/>
          <w:sz w:val="28"/>
          <w:szCs w:val="28"/>
        </w:rPr>
        <w:t>Мероприятия подчинены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 СПО, ФГОС СОО, ФГОС ООО </w:t>
      </w:r>
      <w:r w:rsidRPr="00F6630B">
        <w:rPr>
          <w:rFonts w:ascii="Times New Roman" w:hAnsi="Times New Roman" w:cs="Times New Roman"/>
          <w:sz w:val="28"/>
          <w:szCs w:val="28"/>
        </w:rPr>
        <w:t>в части оценки: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 качества содержания и организации образовательной деятельности;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 качества условий, обеспечивающих образовательную деятельность;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- качества результатов образовательной деятельности.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>Циклограмма охватывает исключительно рамки ВСОКО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 реализуемым в колледже в 2024-2025 учебном году:</w:t>
      </w:r>
    </w:p>
    <w:p w:rsidR="002A7E00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r w:rsidRPr="005D1A28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>:</w:t>
      </w:r>
    </w:p>
    <w:p w:rsidR="002A7E00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 xml:space="preserve">Программы подготовки квалифицированных рабочих, служащих (ППКРС) </w:t>
      </w:r>
    </w:p>
    <w:p w:rsidR="002A7E00" w:rsidRPr="00F6630B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6630B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(ППССЗ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E00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6630B">
        <w:rPr>
          <w:rFonts w:ascii="Times New Roman" w:hAnsi="Times New Roman" w:cs="Times New Roman"/>
          <w:sz w:val="28"/>
          <w:szCs w:val="28"/>
        </w:rPr>
        <w:t>Образовательные программы профессионального обучения (программы профессиональной подготовки по профессиям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0B">
        <w:rPr>
          <w:rFonts w:ascii="Times New Roman" w:hAnsi="Times New Roman" w:cs="Times New Roman"/>
          <w:sz w:val="28"/>
          <w:szCs w:val="28"/>
        </w:rPr>
        <w:t>рабочих, должностям служащих) для обучающихся не имеющих основного общего образования</w:t>
      </w:r>
    </w:p>
    <w:p w:rsidR="002A7E00" w:rsidRPr="005D1A28" w:rsidRDefault="002A7E00" w:rsidP="002A7E0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A28">
        <w:rPr>
          <w:rFonts w:ascii="Times New Roman" w:hAnsi="Times New Roman" w:cs="Times New Roman"/>
          <w:b/>
          <w:bCs/>
          <w:sz w:val="28"/>
          <w:szCs w:val="28"/>
        </w:rPr>
        <w:t>программы основного общего образования (9 класс)</w:t>
      </w:r>
    </w:p>
    <w:p w:rsidR="002A7E00" w:rsidRDefault="002A7E00" w:rsidP="002A7E0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A7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A7E00" w:rsidTr="00E46CC2">
        <w:trPr>
          <w:trHeight w:val="985"/>
        </w:trPr>
        <w:tc>
          <w:tcPr>
            <w:tcW w:w="15593" w:type="dxa"/>
            <w:gridSpan w:val="12"/>
          </w:tcPr>
          <w:p w:rsidR="002A7E00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ЦИКЛОГРАММА ВСОКО В ГПОАУ ЯО ЛЮБИМСКОМ АГРАРНО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ПОЛИТЕХНИЧЕСКОМ КОЛЛЕДЖЕ </w:t>
            </w:r>
          </w:p>
          <w:p w:rsidR="002A7E00" w:rsidRPr="00C44527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68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2A7E00" w:rsidTr="00E46CC2">
        <w:tc>
          <w:tcPr>
            <w:tcW w:w="4820" w:type="dxa"/>
            <w:vMerge w:val="restart"/>
          </w:tcPr>
          <w:p w:rsidR="002A7E00" w:rsidRPr="003E6519" w:rsidRDefault="002A7E0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 процедуры ВСОКО</w:t>
            </w:r>
          </w:p>
        </w:tc>
        <w:tc>
          <w:tcPr>
            <w:tcW w:w="1984" w:type="dxa"/>
            <w:vMerge w:val="restart"/>
          </w:tcPr>
          <w:p w:rsidR="002A7E00" w:rsidRPr="003E6519" w:rsidRDefault="002A7E00" w:rsidP="00E4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gridSpan w:val="4"/>
          </w:tcPr>
          <w:p w:rsidR="002A7E00" w:rsidRPr="003E6519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6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2024 год</w:t>
            </w:r>
          </w:p>
        </w:tc>
        <w:tc>
          <w:tcPr>
            <w:tcW w:w="5103" w:type="dxa"/>
            <w:gridSpan w:val="6"/>
          </w:tcPr>
          <w:p w:rsidR="002A7E00" w:rsidRPr="003E6519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6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2025 год</w:t>
            </w:r>
          </w:p>
        </w:tc>
      </w:tr>
      <w:tr w:rsidR="002A7E00" w:rsidTr="00E46CC2">
        <w:tc>
          <w:tcPr>
            <w:tcW w:w="4820" w:type="dxa"/>
            <w:vMerge/>
          </w:tcPr>
          <w:p w:rsidR="002A7E00" w:rsidRPr="00593B9E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7E00" w:rsidRPr="00593B9E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A7E00" w:rsidRPr="00CA0848" w:rsidRDefault="002A7E00" w:rsidP="00E46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0848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</w:tr>
      <w:tr w:rsidR="002A7E00" w:rsidTr="00E46CC2">
        <w:tc>
          <w:tcPr>
            <w:tcW w:w="15593" w:type="dxa"/>
            <w:gridSpan w:val="12"/>
          </w:tcPr>
          <w:p w:rsidR="002A7E00" w:rsidRPr="000E036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03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Оценка качества содержания и организации образовательной деятельности</w:t>
            </w: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0E0360">
              <w:rPr>
                <w:rFonts w:ascii="Times New Roman" w:hAnsi="Times New Roman" w:cs="Times New Roman"/>
                <w:sz w:val="26"/>
                <w:szCs w:val="26"/>
              </w:rPr>
              <w:t>.1 Качество основной образовательной программы, (адаптированной основной образовательной программы при наличии)</w:t>
            </w:r>
          </w:p>
        </w:tc>
        <w:tc>
          <w:tcPr>
            <w:tcW w:w="1984" w:type="dxa"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183F9C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1.2 Соответствие ООП локальным нормативным актам</w:t>
            </w:r>
          </w:p>
        </w:tc>
        <w:tc>
          <w:tcPr>
            <w:tcW w:w="1984" w:type="dxa"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993" w:type="dxa"/>
            <w:shd w:val="clear" w:color="auto" w:fill="92D05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183F9C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1.3 Соответствие локальных нормативных актов законодательству РФ, в том числе в сфере образования</w:t>
            </w:r>
          </w:p>
        </w:tc>
        <w:tc>
          <w:tcPr>
            <w:tcW w:w="1984" w:type="dxa"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ответственные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4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15593" w:type="dxa"/>
            <w:gridSpan w:val="12"/>
          </w:tcPr>
          <w:p w:rsidR="002A7E00" w:rsidRPr="007157DA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7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Оценка качества условий, обеспечивающих образовательную деятельность</w:t>
            </w: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60">
              <w:rPr>
                <w:rFonts w:ascii="Times New Roman" w:hAnsi="Times New Roman" w:cs="Times New Roman"/>
                <w:sz w:val="26"/>
                <w:szCs w:val="26"/>
              </w:rPr>
              <w:t>2.1 Качество материально-технического обеспечения образовательной программы</w:t>
            </w:r>
          </w:p>
        </w:tc>
        <w:tc>
          <w:tcPr>
            <w:tcW w:w="1984" w:type="dxa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директора по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УР, УВР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60">
              <w:rPr>
                <w:rFonts w:ascii="Times New Roman" w:hAnsi="Times New Roman" w:cs="Times New Roman"/>
                <w:sz w:val="26"/>
                <w:szCs w:val="26"/>
              </w:rPr>
              <w:t>2.2 Качество учебно-методического обеспечения образовательной программы</w:t>
            </w:r>
          </w:p>
        </w:tc>
        <w:tc>
          <w:tcPr>
            <w:tcW w:w="1984" w:type="dxa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rPr>
          <w:trHeight w:val="672"/>
        </w:trPr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360">
              <w:rPr>
                <w:rFonts w:ascii="Times New Roman" w:hAnsi="Times New Roman" w:cs="Times New Roman"/>
                <w:sz w:val="26"/>
                <w:szCs w:val="26"/>
              </w:rPr>
              <w:t>2.3 Качество практической подготовки обучающихся</w:t>
            </w:r>
          </w:p>
        </w:tc>
        <w:tc>
          <w:tcPr>
            <w:tcW w:w="1984" w:type="dxa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183F9C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2.4 Качество организации воспитания обучающихся</w:t>
            </w:r>
          </w:p>
        </w:tc>
        <w:tc>
          <w:tcPr>
            <w:tcW w:w="1984" w:type="dxa"/>
          </w:tcPr>
          <w:p w:rsidR="002A7E00" w:rsidRPr="00870B0F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3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70C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70C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183F9C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 Качество кадровых условий реализации образовательной программы</w:t>
            </w:r>
          </w:p>
        </w:tc>
        <w:tc>
          <w:tcPr>
            <w:tcW w:w="1984" w:type="dxa"/>
          </w:tcPr>
          <w:p w:rsidR="002A7E00" w:rsidRPr="00870B0F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870B0F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B0F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70C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70C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A7E00" w:rsidTr="00E46CC2">
        <w:tc>
          <w:tcPr>
            <w:tcW w:w="15593" w:type="dxa"/>
            <w:gridSpan w:val="12"/>
          </w:tcPr>
          <w:p w:rsidR="002A7E00" w:rsidRPr="00C44527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Оценка качества результатов образовательной деятельности</w:t>
            </w:r>
          </w:p>
        </w:tc>
      </w:tr>
      <w:tr w:rsidR="002A7E00" w:rsidTr="00E46CC2">
        <w:tc>
          <w:tcPr>
            <w:tcW w:w="4820" w:type="dxa"/>
            <w:vMerge w:val="restart"/>
          </w:tcPr>
          <w:p w:rsidR="002A7E00" w:rsidRPr="003E6519" w:rsidRDefault="002A7E0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 процедуры ВСОКО</w:t>
            </w:r>
          </w:p>
        </w:tc>
        <w:tc>
          <w:tcPr>
            <w:tcW w:w="1984" w:type="dxa"/>
            <w:vMerge w:val="restart"/>
          </w:tcPr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gridSpan w:val="4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D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2024год</w:t>
            </w:r>
          </w:p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gridSpan w:val="6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D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2025 год</w:t>
            </w:r>
          </w:p>
        </w:tc>
      </w:tr>
      <w:tr w:rsidR="002A7E00" w:rsidTr="00E46CC2">
        <w:tc>
          <w:tcPr>
            <w:tcW w:w="4820" w:type="dxa"/>
            <w:vMerge/>
          </w:tcPr>
          <w:p w:rsidR="002A7E00" w:rsidRPr="00183F9C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7E00" w:rsidRPr="00183F9C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>3.1 Качество сформированности личностных,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>метапредметных и предметных планируемых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</w:p>
        </w:tc>
        <w:tc>
          <w:tcPr>
            <w:tcW w:w="1984" w:type="dxa"/>
            <w:vMerge w:val="restart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00" w:rsidRPr="000E687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0E687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2A7E00" w:rsidRPr="000E687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УР, УПР,</w:t>
            </w:r>
          </w:p>
          <w:p w:rsidR="002A7E00" w:rsidRPr="000E687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A7E00" w:rsidRPr="000E687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3.1.1 Стартовая диагностика обучающихся</w:t>
            </w:r>
          </w:p>
        </w:tc>
        <w:tc>
          <w:tcPr>
            <w:tcW w:w="1984" w:type="dxa"/>
            <w:vMerge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7157DA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>3.1.2 Текущая аттестация обучающихся</w:t>
            </w:r>
          </w:p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B57395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3.1.3 Всероссийские проверочные работы</w:t>
            </w:r>
          </w:p>
        </w:tc>
        <w:tc>
          <w:tcPr>
            <w:tcW w:w="1984" w:type="dxa"/>
            <w:vMerge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7DA">
              <w:rPr>
                <w:rFonts w:ascii="Times New Roman" w:hAnsi="Times New Roman" w:cs="Times New Roman"/>
                <w:sz w:val="26"/>
                <w:szCs w:val="26"/>
              </w:rPr>
              <w:t xml:space="preserve"> Промежуточная аттестация обучающихся</w:t>
            </w:r>
          </w:p>
        </w:tc>
        <w:tc>
          <w:tcPr>
            <w:tcW w:w="1984" w:type="dxa"/>
            <w:vMerge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878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Pr="000E6878">
              <w:rPr>
                <w:rFonts w:ascii="Times New Roman" w:hAnsi="Times New Roman" w:cs="Times New Roman"/>
                <w:sz w:val="26"/>
                <w:szCs w:val="26"/>
              </w:rPr>
              <w:t xml:space="preserve"> Итоговая аттестация обучающихся</w:t>
            </w:r>
          </w:p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 xml:space="preserve"> Анализ достижений в конкурсах разного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>уровня (в городских, областных и др. предметных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>олимпиадах, конкурсах, соревнованиях)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00" w:rsidRPr="0057749F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F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E036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7749F">
              <w:rPr>
                <w:rFonts w:ascii="Times New Roman" w:hAnsi="Times New Roman" w:cs="Times New Roman"/>
                <w:sz w:val="26"/>
                <w:szCs w:val="26"/>
              </w:rPr>
              <w:t xml:space="preserve"> Анализ движения контингента обучающихся</w:t>
            </w:r>
          </w:p>
        </w:tc>
        <w:tc>
          <w:tcPr>
            <w:tcW w:w="1984" w:type="dxa"/>
          </w:tcPr>
          <w:p w:rsidR="002A7E00" w:rsidRPr="00CA0848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 Оценка качества трудоустройства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000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15593" w:type="dxa"/>
            <w:gridSpan w:val="12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Мониторинговые исследования</w:t>
            </w:r>
          </w:p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rPr>
          <w:trHeight w:val="508"/>
        </w:trPr>
        <w:tc>
          <w:tcPr>
            <w:tcW w:w="4820" w:type="dxa"/>
            <w:vMerge w:val="restart"/>
          </w:tcPr>
          <w:p w:rsidR="002A7E00" w:rsidRPr="003E6519" w:rsidRDefault="002A7E00" w:rsidP="00E46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 процедуры ВСОКО</w:t>
            </w:r>
          </w:p>
        </w:tc>
        <w:tc>
          <w:tcPr>
            <w:tcW w:w="1984" w:type="dxa"/>
            <w:vMerge w:val="restart"/>
          </w:tcPr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</w:p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>ВСОКО,</w:t>
            </w:r>
          </w:p>
          <w:p w:rsidR="002A7E00" w:rsidRPr="003E6519" w:rsidRDefault="002A7E00" w:rsidP="00E4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gridSpan w:val="4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90D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2024го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Pr="00790D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D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2025 год</w:t>
            </w:r>
          </w:p>
        </w:tc>
      </w:tr>
      <w:tr w:rsidR="002A7E00" w:rsidTr="00E46CC2">
        <w:tc>
          <w:tcPr>
            <w:tcW w:w="4820" w:type="dxa"/>
            <w:vMerge/>
          </w:tcPr>
          <w:p w:rsidR="002A7E00" w:rsidRPr="00183F9C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7E00" w:rsidRPr="00183F9C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2A7E00" w:rsidRPr="00790D1E" w:rsidRDefault="002A7E00" w:rsidP="00E46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D1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2A7E00" w:rsidTr="00E46CC2">
        <w:tc>
          <w:tcPr>
            <w:tcW w:w="4820" w:type="dxa"/>
          </w:tcPr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Мониторинг ведения официального сайта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993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Мониторинг достижения результативности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показателей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колледжа и Плана деятельности колледжа 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8769BB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об удовлетворенности</w:t>
            </w:r>
          </w:p>
          <w:p w:rsidR="002A7E00" w:rsidRPr="008769BB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условиями и организацией образовательной деятельности</w:t>
            </w:r>
          </w:p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в рамках реализации образовательной программы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8769BB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исследование результатов 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обучающихся об удовлетворенности условиями,</w:t>
            </w:r>
          </w:p>
          <w:p w:rsidR="002A7E00" w:rsidRPr="008769BB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содержанием, организацией и качеством</w:t>
            </w:r>
          </w:p>
          <w:p w:rsidR="002A7E00" w:rsidRPr="008769BB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в целом и отдельных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дисциплин (модулей) и практик в рамках реализации</w:t>
            </w:r>
          </w:p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9BB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программы;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воспитательной работе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774B97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исследование - опрос</w:t>
            </w:r>
          </w:p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работодателей и (или) их объединений,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юридических и (или) физических лиц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удовлетворенности качеством образования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программе;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УПР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183F9C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Федеральная информационная система «Федеральный реестр сведений документов об образовании и (или) о</w:t>
            </w:r>
          </w:p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F9C">
              <w:rPr>
                <w:rFonts w:ascii="Times New Roman" w:hAnsi="Times New Roman" w:cs="Times New Roman"/>
                <w:sz w:val="26"/>
                <w:szCs w:val="26"/>
              </w:rPr>
              <w:t>квалификации, документах об обучении» (ФИС ФРДО)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993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774B97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 xml:space="preserve"> «Оценка эффективности</w:t>
            </w:r>
          </w:p>
          <w:p w:rsidR="002A7E00" w:rsidRPr="0057749F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деятельности руководителя 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в системе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 за 2024 год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774B97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Мониторинг «Оценка эффективности</w:t>
            </w:r>
          </w:p>
          <w:p w:rsidR="002A7E00" w:rsidRPr="00774B97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деятельности образовательной</w:t>
            </w:r>
          </w:p>
          <w:p w:rsidR="002A7E00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B97">
              <w:rPr>
                <w:rFonts w:ascii="Times New Roman" w:hAnsi="Times New Roman" w:cs="Times New Roman"/>
                <w:sz w:val="26"/>
                <w:szCs w:val="26"/>
              </w:rPr>
              <w:t xml:space="preserve"> в системе образования Ярославской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за 2024 год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D75AD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>Мониторинг «Оценка эффективности</w:t>
            </w:r>
          </w:p>
          <w:p w:rsidR="002A7E00" w:rsidRPr="00774B97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 (центров) </w:t>
            </w: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 в системе </w:t>
            </w:r>
            <w:r w:rsidRPr="000D75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Ярославской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2024 год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 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D75AD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>«Мониторинг результативности работы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>самоопределению и профессиональной ориентации</w:t>
            </w:r>
          </w:p>
          <w:p w:rsidR="002A7E00" w:rsidRPr="000D75AD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>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</w:t>
            </w:r>
            <w:r w:rsidRPr="000D75AD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E00" w:rsidTr="00E46CC2">
        <w:tc>
          <w:tcPr>
            <w:tcW w:w="4820" w:type="dxa"/>
          </w:tcPr>
          <w:p w:rsidR="002A7E00" w:rsidRPr="000D75AD" w:rsidRDefault="002A7E00" w:rsidP="00E46C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</w:t>
            </w:r>
            <w:r w:rsidRPr="00746EBA">
              <w:rPr>
                <w:rFonts w:ascii="Times New Roman" w:hAnsi="Times New Roman" w:cs="Times New Roman"/>
                <w:sz w:val="26"/>
                <w:szCs w:val="26"/>
              </w:rPr>
              <w:t>«Оценка эффективности системы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EBA">
              <w:rPr>
                <w:rFonts w:ascii="Times New Roman" w:hAnsi="Times New Roman" w:cs="Times New Roman"/>
                <w:sz w:val="26"/>
                <w:szCs w:val="26"/>
              </w:rPr>
              <w:t>воспитания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A7E00" w:rsidRDefault="002A7E00" w:rsidP="00E4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993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A7E00" w:rsidRPr="00633D00" w:rsidRDefault="002A7E00" w:rsidP="00E46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7E00" w:rsidRPr="00633D00" w:rsidRDefault="002A7E00" w:rsidP="00E46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E00" w:rsidRDefault="002A7E00" w:rsidP="002A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bookmarkEnd w:id="0"/>
    <w:p w:rsidR="0079593D" w:rsidRPr="002A7E00" w:rsidRDefault="0079593D" w:rsidP="002A7E00"/>
    <w:sectPr w:rsidR="0079593D" w:rsidRPr="002A7E00" w:rsidSect="002A7E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01435"/>
    <w:multiLevelType w:val="hybridMultilevel"/>
    <w:tmpl w:val="B01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E0"/>
    <w:rsid w:val="002A7E00"/>
    <w:rsid w:val="0079593D"/>
    <w:rsid w:val="00A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C9E8"/>
  <w15:chartTrackingRefBased/>
  <w15:docId w15:val="{D84867BB-554B-49A2-B0E9-4E3AD41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E0"/>
    <w:pPr>
      <w:ind w:left="720"/>
      <w:contextualSpacing/>
    </w:pPr>
  </w:style>
  <w:style w:type="table" w:styleId="a4">
    <w:name w:val="Table Grid"/>
    <w:basedOn w:val="a1"/>
    <w:uiPriority w:val="39"/>
    <w:rsid w:val="00A744E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2024-10-18T06:35:00Z</dcterms:created>
  <dcterms:modified xsi:type="dcterms:W3CDTF">2024-10-18T06:35:00Z</dcterms:modified>
</cp:coreProperties>
</file>